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1EDF1" w14:textId="77777777" w:rsidR="001B2D9A" w:rsidRPr="00D12A77" w:rsidRDefault="001B2D9A" w:rsidP="00A02CAC">
      <w:pPr>
        <w:rPr>
          <w:rFonts w:ascii="Arial" w:hAnsi="Arial" w:cs="Arial"/>
          <w:b/>
          <w:sz w:val="24"/>
          <w:szCs w:val="24"/>
        </w:rPr>
      </w:pPr>
    </w:p>
    <w:p w14:paraId="4A0FF302" w14:textId="637316BB" w:rsidR="00C03E6A" w:rsidRDefault="00C03E6A" w:rsidP="00A02CAC">
      <w:pPr>
        <w:rPr>
          <w:rFonts w:ascii="Arial" w:hAnsi="Arial" w:cs="Arial"/>
          <w:b/>
          <w:sz w:val="24"/>
          <w:szCs w:val="24"/>
        </w:rPr>
      </w:pPr>
    </w:p>
    <w:p w14:paraId="513BED22" w14:textId="03050C18" w:rsidR="005A2041" w:rsidRPr="005A2041" w:rsidRDefault="005A2041" w:rsidP="00A02CAC">
      <w:pPr>
        <w:rPr>
          <w:rFonts w:ascii="Arial" w:hAnsi="Arial" w:cs="Arial"/>
          <w:b/>
          <w:sz w:val="24"/>
          <w:szCs w:val="24"/>
        </w:rPr>
      </w:pPr>
    </w:p>
    <w:p w14:paraId="145EB51A" w14:textId="3A8714DB" w:rsidR="005A2041" w:rsidRPr="00A96605" w:rsidRDefault="005A2041" w:rsidP="00A96605">
      <w:pPr>
        <w:pStyle w:val="StandardWeb"/>
        <w:jc w:val="center"/>
        <w:rPr>
          <w:rFonts w:ascii="Arial" w:hAnsi="Arial" w:cs="Arial"/>
          <w:sz w:val="28"/>
        </w:rPr>
      </w:pPr>
      <w:r w:rsidRPr="00A96605">
        <w:rPr>
          <w:rStyle w:val="Fett"/>
          <w:rFonts w:ascii="Arial" w:hAnsi="Arial" w:cs="Arial"/>
          <w:sz w:val="28"/>
        </w:rPr>
        <w:t xml:space="preserve">Unterstützungsangebote für Lehrende, Eltern und Betroffene im Zusammenhang mit </w:t>
      </w:r>
      <w:r w:rsidR="00A96605" w:rsidRPr="00A96605">
        <w:rPr>
          <w:rStyle w:val="Fett"/>
          <w:rFonts w:ascii="Arial" w:hAnsi="Arial" w:cs="Arial"/>
          <w:sz w:val="28"/>
        </w:rPr>
        <w:t>Antisemitismus</w:t>
      </w:r>
    </w:p>
    <w:p w14:paraId="73ADA6EB" w14:textId="77777777" w:rsidR="005A2041" w:rsidRPr="00D12A77" w:rsidRDefault="005A2041" w:rsidP="00A02CAC">
      <w:pPr>
        <w:rPr>
          <w:rFonts w:ascii="Arial" w:hAnsi="Arial" w:cs="Arial"/>
          <w:b/>
          <w:sz w:val="24"/>
          <w:szCs w:val="24"/>
        </w:rPr>
      </w:pPr>
      <w:bookmarkStart w:id="0" w:name="_GoBack"/>
      <w:bookmarkEnd w:id="0"/>
    </w:p>
    <w:tbl>
      <w:tblPr>
        <w:tblW w:w="11058"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261"/>
        <w:gridCol w:w="4536"/>
      </w:tblGrid>
      <w:tr w:rsidR="00D12A77" w:rsidRPr="00D12A77" w14:paraId="4DDEF015" w14:textId="749EA09C" w:rsidTr="005A2041">
        <w:trPr>
          <w:trHeight w:val="851"/>
          <w:tblHeader/>
          <w:tblCellSpacing w:w="15" w:type="dxa"/>
        </w:trPr>
        <w:tc>
          <w:tcPr>
            <w:tcW w:w="3216" w:type="dxa"/>
            <w:shd w:val="clear" w:color="auto" w:fill="B4C6E7" w:themeFill="accent1" w:themeFillTint="66"/>
            <w:tcMar>
              <w:top w:w="15" w:type="dxa"/>
              <w:left w:w="15" w:type="dxa"/>
              <w:bottom w:w="15" w:type="dxa"/>
              <w:right w:w="15" w:type="dxa"/>
            </w:tcMar>
            <w:vAlign w:val="center"/>
            <w:hideMark/>
          </w:tcPr>
          <w:p w14:paraId="5BCFCC56" w14:textId="77777777" w:rsidR="00D12A77" w:rsidRPr="00D12A77" w:rsidRDefault="00D12A77" w:rsidP="00D12A77">
            <w:pPr>
              <w:spacing w:after="0" w:line="240" w:lineRule="auto"/>
              <w:rPr>
                <w:rFonts w:ascii="Arial" w:eastAsia="Times New Roman" w:hAnsi="Arial" w:cs="Arial"/>
                <w:b/>
                <w:sz w:val="24"/>
                <w:szCs w:val="24"/>
                <w:lang w:eastAsia="de-DE"/>
              </w:rPr>
            </w:pPr>
            <w:r w:rsidRPr="00D12A77">
              <w:rPr>
                <w:rFonts w:ascii="Arial" w:eastAsia="Times New Roman" w:hAnsi="Arial" w:cs="Arial"/>
                <w:b/>
                <w:bCs/>
                <w:sz w:val="24"/>
                <w:szCs w:val="24"/>
                <w:lang w:eastAsia="de-DE"/>
              </w:rPr>
              <w:t>Anbieter</w:t>
            </w:r>
          </w:p>
        </w:tc>
        <w:tc>
          <w:tcPr>
            <w:tcW w:w="3231" w:type="dxa"/>
            <w:shd w:val="clear" w:color="auto" w:fill="B4C6E7" w:themeFill="accent1" w:themeFillTint="66"/>
            <w:vAlign w:val="center"/>
          </w:tcPr>
          <w:p w14:paraId="03A09620" w14:textId="42ABF323" w:rsidR="00D12A77" w:rsidRPr="00D12A77" w:rsidRDefault="00D12A77" w:rsidP="00D12A77">
            <w:pPr>
              <w:spacing w:after="0" w:line="240" w:lineRule="auto"/>
              <w:rPr>
                <w:rFonts w:ascii="Arial" w:eastAsia="Times New Roman" w:hAnsi="Arial" w:cs="Arial"/>
                <w:b/>
                <w:sz w:val="20"/>
                <w:szCs w:val="20"/>
                <w:lang w:eastAsia="de-DE"/>
              </w:rPr>
            </w:pPr>
            <w:r w:rsidRPr="00D12A77">
              <w:rPr>
                <w:rFonts w:ascii="Arial" w:hAnsi="Arial" w:cs="Arial"/>
                <w:b/>
                <w:sz w:val="24"/>
                <w:szCs w:val="24"/>
                <w:lang w:eastAsia="de-DE"/>
              </w:rPr>
              <w:t>Beschreibung</w:t>
            </w:r>
          </w:p>
        </w:tc>
        <w:tc>
          <w:tcPr>
            <w:tcW w:w="4491" w:type="dxa"/>
            <w:shd w:val="clear" w:color="auto" w:fill="B4C6E7" w:themeFill="accent1" w:themeFillTint="66"/>
            <w:vAlign w:val="center"/>
          </w:tcPr>
          <w:p w14:paraId="04846CA6" w14:textId="6748C60A" w:rsidR="00D12A77" w:rsidRPr="00D12A77" w:rsidRDefault="00D12A77" w:rsidP="00D12A77">
            <w:pPr>
              <w:spacing w:after="0" w:line="240" w:lineRule="auto"/>
              <w:rPr>
                <w:rFonts w:ascii="Arial" w:eastAsia="Times New Roman" w:hAnsi="Arial" w:cs="Arial"/>
                <w:b/>
                <w:sz w:val="20"/>
                <w:szCs w:val="20"/>
                <w:lang w:eastAsia="de-DE"/>
              </w:rPr>
            </w:pPr>
            <w:r w:rsidRPr="00D12A77">
              <w:rPr>
                <w:rFonts w:ascii="Arial" w:hAnsi="Arial" w:cs="Arial"/>
                <w:b/>
                <w:sz w:val="24"/>
                <w:szCs w:val="24"/>
                <w:lang w:eastAsia="de-DE"/>
              </w:rPr>
              <w:t>L</w:t>
            </w:r>
            <w:r w:rsidRPr="00D12A77">
              <w:rPr>
                <w:rFonts w:ascii="Arial" w:eastAsia="Times New Roman" w:hAnsi="Arial" w:cs="Arial"/>
                <w:b/>
                <w:bCs/>
                <w:sz w:val="24"/>
                <w:szCs w:val="24"/>
                <w:lang w:eastAsia="de-DE"/>
              </w:rPr>
              <w:t>ink</w:t>
            </w:r>
          </w:p>
        </w:tc>
      </w:tr>
      <w:tr w:rsidR="00D12A77" w:rsidRPr="00D12A77" w14:paraId="1E2D7BCC" w14:textId="6DE24E23" w:rsidTr="005A2041">
        <w:trPr>
          <w:tblCellSpacing w:w="15" w:type="dxa"/>
        </w:trPr>
        <w:tc>
          <w:tcPr>
            <w:tcW w:w="3216" w:type="dxa"/>
            <w:tcMar>
              <w:top w:w="15" w:type="dxa"/>
              <w:left w:w="15" w:type="dxa"/>
              <w:bottom w:w="15" w:type="dxa"/>
              <w:right w:w="15" w:type="dxa"/>
            </w:tcMar>
            <w:vAlign w:val="center"/>
            <w:hideMark/>
          </w:tcPr>
          <w:p w14:paraId="7CAD4498"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Sozialministerium Baden-Württemberg (BW)</w:t>
            </w:r>
          </w:p>
        </w:tc>
        <w:tc>
          <w:tcPr>
            <w:tcW w:w="3231" w:type="dxa"/>
            <w:vAlign w:val="center"/>
          </w:tcPr>
          <w:p w14:paraId="368B74D5" w14:textId="1F0DD224"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LADS – Antidiskriminierungsstelle des Landes Baden-Württemberg</w:t>
            </w:r>
          </w:p>
        </w:tc>
        <w:tc>
          <w:tcPr>
            <w:tcW w:w="4491" w:type="dxa"/>
            <w:vAlign w:val="center"/>
          </w:tcPr>
          <w:p w14:paraId="1DDC931F" w14:textId="3204D039" w:rsidR="00D12A77" w:rsidRPr="00D12A77" w:rsidRDefault="00D12A77" w:rsidP="00D12A77">
            <w:pPr>
              <w:rPr>
                <w:rFonts w:ascii="Arial" w:eastAsia="Times New Roman" w:hAnsi="Arial" w:cs="Arial"/>
                <w:sz w:val="20"/>
                <w:szCs w:val="20"/>
                <w:lang w:eastAsia="de-DE"/>
              </w:rPr>
            </w:pPr>
            <w:hyperlink r:id="rId8" w:tgtFrame="_blank" w:history="1">
              <w:r w:rsidRPr="00D12A77">
                <w:rPr>
                  <w:rStyle w:val="Hyperlink"/>
                  <w:rFonts w:ascii="Arial" w:eastAsia="Times New Roman" w:hAnsi="Arial" w:cs="Arial"/>
                </w:rPr>
                <w:t>https://sozialministerium.baden-wuerttemberg.de/de/ministerium/lads-baden-wuerttemberg</w:t>
              </w:r>
            </w:hyperlink>
          </w:p>
        </w:tc>
      </w:tr>
      <w:tr w:rsidR="00D12A77" w:rsidRPr="00D12A77" w14:paraId="749D421F" w14:textId="7DB4EAE0" w:rsidTr="005A2041">
        <w:trPr>
          <w:tblCellSpacing w:w="15" w:type="dxa"/>
        </w:trPr>
        <w:tc>
          <w:tcPr>
            <w:tcW w:w="3216" w:type="dxa"/>
            <w:tcMar>
              <w:top w:w="15" w:type="dxa"/>
              <w:left w:w="15" w:type="dxa"/>
              <w:bottom w:w="15" w:type="dxa"/>
              <w:right w:w="15" w:type="dxa"/>
            </w:tcMar>
            <w:vAlign w:val="center"/>
            <w:hideMark/>
          </w:tcPr>
          <w:p w14:paraId="51F30F42"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Polizei BW</w:t>
            </w:r>
          </w:p>
        </w:tc>
        <w:tc>
          <w:tcPr>
            <w:tcW w:w="3231" w:type="dxa"/>
            <w:vAlign w:val="center"/>
          </w:tcPr>
          <w:p w14:paraId="68FF9B84" w14:textId="30FE0B51"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Präventionsangebot „Sicher in Glaubensgemeinschaften“</w:t>
            </w:r>
          </w:p>
        </w:tc>
        <w:tc>
          <w:tcPr>
            <w:tcW w:w="4491" w:type="dxa"/>
            <w:vAlign w:val="center"/>
          </w:tcPr>
          <w:p w14:paraId="20A3A137" w14:textId="406C8EFA" w:rsidR="00D12A77" w:rsidRPr="00D12A77" w:rsidRDefault="00D12A77" w:rsidP="00D12A77">
            <w:pPr>
              <w:rPr>
                <w:rFonts w:ascii="Arial" w:eastAsia="Times New Roman" w:hAnsi="Arial" w:cs="Arial"/>
                <w:sz w:val="20"/>
                <w:szCs w:val="20"/>
                <w:lang w:eastAsia="de-DE"/>
              </w:rPr>
            </w:pPr>
            <w:hyperlink r:id="rId9" w:history="1">
              <w:r w:rsidRPr="00D12A77">
                <w:rPr>
                  <w:rStyle w:val="Hyperlink"/>
                  <w:rFonts w:ascii="Arial" w:eastAsia="Times New Roman" w:hAnsi="Arial" w:cs="Arial"/>
                </w:rPr>
                <w:t>https://www.initiative-toleranz-im-netz.de/event/praeventionsangebot-sicher-in-glaubensgemeinschaften/</w:t>
              </w:r>
            </w:hyperlink>
          </w:p>
        </w:tc>
      </w:tr>
      <w:tr w:rsidR="00D12A77" w:rsidRPr="00D12A77" w14:paraId="74C2BAC9" w14:textId="1FB5D80D" w:rsidTr="005A2041">
        <w:trPr>
          <w:tblCellSpacing w:w="15" w:type="dxa"/>
        </w:trPr>
        <w:tc>
          <w:tcPr>
            <w:tcW w:w="3216" w:type="dxa"/>
            <w:tcMar>
              <w:top w:w="15" w:type="dxa"/>
              <w:left w:w="15" w:type="dxa"/>
              <w:bottom w:w="15" w:type="dxa"/>
              <w:right w:w="15" w:type="dxa"/>
            </w:tcMar>
            <w:vAlign w:val="center"/>
            <w:hideMark/>
          </w:tcPr>
          <w:p w14:paraId="4FFE95B9"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Polizei BW</w:t>
            </w:r>
          </w:p>
        </w:tc>
        <w:tc>
          <w:tcPr>
            <w:tcW w:w="3231" w:type="dxa"/>
            <w:vAlign w:val="center"/>
          </w:tcPr>
          <w:p w14:paraId="63CFE88E" w14:textId="3A196F58"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Das beim LKA BW angesiedelte Kompetenzzentrum gegen Extremismus in Baden-Württemberg (</w:t>
            </w:r>
            <w:proofErr w:type="spellStart"/>
            <w:r w:rsidRPr="00D12A77">
              <w:rPr>
                <w:rFonts w:ascii="Arial" w:eastAsia="Times New Roman" w:hAnsi="Arial" w:cs="Arial"/>
              </w:rPr>
              <w:t>konex</w:t>
            </w:r>
            <w:proofErr w:type="spellEnd"/>
            <w:r w:rsidRPr="00D12A77">
              <w:rPr>
                <w:rFonts w:ascii="Arial" w:eastAsia="Times New Roman" w:hAnsi="Arial" w:cs="Arial"/>
              </w:rPr>
              <w:t>) bietet persönliche und kompetente Beratung für radikalisierte Personen und deren Umfeld</w:t>
            </w:r>
          </w:p>
        </w:tc>
        <w:tc>
          <w:tcPr>
            <w:tcW w:w="4491" w:type="dxa"/>
            <w:vAlign w:val="center"/>
          </w:tcPr>
          <w:p w14:paraId="1E2E2C4A" w14:textId="6C65C3E2" w:rsidR="00D12A77" w:rsidRPr="00D12A77" w:rsidRDefault="00D12A77" w:rsidP="00D12A77">
            <w:pPr>
              <w:rPr>
                <w:rFonts w:ascii="Arial" w:eastAsia="Times New Roman" w:hAnsi="Arial" w:cs="Arial"/>
                <w:sz w:val="20"/>
                <w:szCs w:val="20"/>
                <w:lang w:eastAsia="de-DE"/>
              </w:rPr>
            </w:pPr>
            <w:hyperlink r:id="rId10" w:history="1">
              <w:r w:rsidRPr="00D12A77">
                <w:rPr>
                  <w:rStyle w:val="Hyperlink"/>
                  <w:rFonts w:ascii="Arial" w:eastAsia="Times New Roman" w:hAnsi="Arial" w:cs="Arial"/>
                </w:rPr>
                <w:t>https://www.konex-bw.de/</w:t>
              </w:r>
            </w:hyperlink>
          </w:p>
        </w:tc>
      </w:tr>
      <w:tr w:rsidR="00D12A77" w:rsidRPr="00D12A77" w14:paraId="17560075" w14:textId="1718AD5D" w:rsidTr="005A2041">
        <w:trPr>
          <w:tblCellSpacing w:w="15" w:type="dxa"/>
        </w:trPr>
        <w:tc>
          <w:tcPr>
            <w:tcW w:w="3216" w:type="dxa"/>
            <w:tcMar>
              <w:top w:w="15" w:type="dxa"/>
              <w:left w:w="15" w:type="dxa"/>
              <w:bottom w:w="15" w:type="dxa"/>
              <w:right w:w="15" w:type="dxa"/>
            </w:tcMar>
            <w:vAlign w:val="center"/>
            <w:hideMark/>
          </w:tcPr>
          <w:p w14:paraId="6D84B664"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Landesmedienzentrum BW</w:t>
            </w:r>
          </w:p>
        </w:tc>
        <w:tc>
          <w:tcPr>
            <w:tcW w:w="3231" w:type="dxa"/>
            <w:vAlign w:val="center"/>
          </w:tcPr>
          <w:p w14:paraId="07AB79D2" w14:textId="586D32BF"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E-Paper „Antisemitismus erkennen und begegnen“ für Lehrkräfte</w:t>
            </w:r>
          </w:p>
        </w:tc>
        <w:tc>
          <w:tcPr>
            <w:tcW w:w="4491" w:type="dxa"/>
            <w:vAlign w:val="center"/>
          </w:tcPr>
          <w:p w14:paraId="28BF90CB" w14:textId="58228493" w:rsidR="00D12A77" w:rsidRPr="00D12A77" w:rsidRDefault="00D12A77" w:rsidP="00D12A77">
            <w:pPr>
              <w:rPr>
                <w:rFonts w:ascii="Arial" w:eastAsia="Times New Roman" w:hAnsi="Arial" w:cs="Arial"/>
                <w:sz w:val="20"/>
                <w:szCs w:val="20"/>
                <w:lang w:eastAsia="de-DE"/>
              </w:rPr>
            </w:pPr>
            <w:hyperlink r:id="rId11" w:history="1">
              <w:r w:rsidRPr="00D12A77">
                <w:rPr>
                  <w:rStyle w:val="Hyperlink"/>
                  <w:rFonts w:ascii="Arial" w:eastAsia="Times New Roman" w:hAnsi="Arial" w:cs="Arial"/>
                </w:rPr>
                <w:t>https://www.initiative-toleranz-im-netz.de/event/antisemitismus-erkennen-und-begegnen-e-paper/</w:t>
              </w:r>
            </w:hyperlink>
          </w:p>
        </w:tc>
      </w:tr>
      <w:tr w:rsidR="00D12A77" w:rsidRPr="00D12A77" w14:paraId="45C8B793" w14:textId="3F44EA85" w:rsidTr="005A2041">
        <w:trPr>
          <w:tblCellSpacing w:w="15" w:type="dxa"/>
        </w:trPr>
        <w:tc>
          <w:tcPr>
            <w:tcW w:w="3216" w:type="dxa"/>
            <w:tcMar>
              <w:top w:w="15" w:type="dxa"/>
              <w:left w:w="15" w:type="dxa"/>
              <w:bottom w:w="15" w:type="dxa"/>
              <w:right w:w="15" w:type="dxa"/>
            </w:tcMar>
            <w:vAlign w:val="center"/>
            <w:hideMark/>
          </w:tcPr>
          <w:p w14:paraId="595C5228"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Polizei BW</w:t>
            </w:r>
          </w:p>
        </w:tc>
        <w:tc>
          <w:tcPr>
            <w:tcW w:w="3231" w:type="dxa"/>
            <w:vAlign w:val="center"/>
          </w:tcPr>
          <w:p w14:paraId="7CF34085" w14:textId="35F3A19F" w:rsidR="005A2041" w:rsidRPr="005A2041" w:rsidRDefault="00D12A77" w:rsidP="00D12A77">
            <w:pPr>
              <w:rPr>
                <w:rFonts w:ascii="Arial" w:eastAsia="Times New Roman" w:hAnsi="Arial" w:cs="Arial"/>
              </w:rPr>
            </w:pPr>
            <w:r w:rsidRPr="00D12A77">
              <w:rPr>
                <w:rFonts w:ascii="Arial" w:eastAsia="Times New Roman" w:hAnsi="Arial" w:cs="Arial"/>
              </w:rPr>
              <w:t>ACHTUNG?! – ein Präventionsprojekt für Schulen zum Thema Radikalisierung für Eltern und Familien, Pädagoginnen und Pädagogen und Schülerinnen und Schüler</w:t>
            </w:r>
          </w:p>
        </w:tc>
        <w:tc>
          <w:tcPr>
            <w:tcW w:w="4491" w:type="dxa"/>
            <w:vAlign w:val="center"/>
          </w:tcPr>
          <w:p w14:paraId="51E5D877" w14:textId="79AE3980"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br/>
            </w:r>
            <w:hyperlink r:id="rId12" w:history="1">
              <w:r w:rsidRPr="00D12A77">
                <w:rPr>
                  <w:rStyle w:val="Hyperlink"/>
                  <w:rFonts w:ascii="Arial" w:eastAsia="Times New Roman" w:hAnsi="Arial" w:cs="Arial"/>
                </w:rPr>
                <w:t>https://www.initiative-toleranz-im-netz.de/event/achtung-ein-praeventionsprojekt-fuer-schulen-zum-thema-radikalisierung/</w:t>
              </w:r>
            </w:hyperlink>
          </w:p>
        </w:tc>
      </w:tr>
      <w:tr w:rsidR="00D12A77" w:rsidRPr="00D12A77" w14:paraId="27F43B86" w14:textId="2BE0CF66" w:rsidTr="005A2041">
        <w:trPr>
          <w:tblCellSpacing w:w="15" w:type="dxa"/>
        </w:trPr>
        <w:tc>
          <w:tcPr>
            <w:tcW w:w="3216" w:type="dxa"/>
            <w:tcMar>
              <w:top w:w="15" w:type="dxa"/>
              <w:left w:w="15" w:type="dxa"/>
              <w:bottom w:w="15" w:type="dxa"/>
              <w:right w:w="15" w:type="dxa"/>
            </w:tcMar>
            <w:vAlign w:val="center"/>
            <w:hideMark/>
          </w:tcPr>
          <w:p w14:paraId="40376396"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Landeszentrale für politische Bildung BW</w:t>
            </w:r>
          </w:p>
        </w:tc>
        <w:tc>
          <w:tcPr>
            <w:tcW w:w="3231" w:type="dxa"/>
            <w:vAlign w:val="center"/>
          </w:tcPr>
          <w:p w14:paraId="35D33DC4" w14:textId="03F55A8E"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Handreichung für Lehrkräfte zum Umgang mit Antisemitismus an Schulen „Lernmedium – Wahrnehmen – Benennen – Handeln“</w:t>
            </w:r>
          </w:p>
        </w:tc>
        <w:tc>
          <w:tcPr>
            <w:tcW w:w="4491" w:type="dxa"/>
            <w:vAlign w:val="center"/>
          </w:tcPr>
          <w:p w14:paraId="6A81451C" w14:textId="7C4520D4" w:rsidR="00D12A77" w:rsidRPr="00D12A77" w:rsidRDefault="00D12A77" w:rsidP="00D12A77">
            <w:pPr>
              <w:rPr>
                <w:rFonts w:ascii="Arial" w:eastAsia="Times New Roman" w:hAnsi="Arial" w:cs="Arial"/>
                <w:sz w:val="20"/>
                <w:szCs w:val="20"/>
                <w:lang w:eastAsia="de-DE"/>
              </w:rPr>
            </w:pPr>
            <w:hyperlink r:id="rId13" w:history="1">
              <w:r w:rsidRPr="00D12A77">
                <w:rPr>
                  <w:rStyle w:val="Hyperlink"/>
                  <w:rFonts w:ascii="Arial" w:eastAsia="Times New Roman" w:hAnsi="Arial" w:cs="Arial"/>
                </w:rPr>
                <w:t>https://www.initiative-toleranz-im-netz.de/event/lernmedium-wahrnehmen-benennen-handeln/</w:t>
              </w:r>
            </w:hyperlink>
          </w:p>
        </w:tc>
      </w:tr>
      <w:tr w:rsidR="00D12A77" w:rsidRPr="00D12A77" w14:paraId="09A32CB0" w14:textId="0309672C" w:rsidTr="005A2041">
        <w:trPr>
          <w:tblCellSpacing w:w="15" w:type="dxa"/>
        </w:trPr>
        <w:tc>
          <w:tcPr>
            <w:tcW w:w="3216" w:type="dxa"/>
            <w:tcMar>
              <w:top w:w="15" w:type="dxa"/>
              <w:left w:w="15" w:type="dxa"/>
              <w:bottom w:w="15" w:type="dxa"/>
              <w:right w:w="15" w:type="dxa"/>
            </w:tcMar>
            <w:vAlign w:val="center"/>
            <w:hideMark/>
          </w:tcPr>
          <w:p w14:paraId="5F9C48D6"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lastRenderedPageBreak/>
              <w:t>Handysektor – Landesanstalt für Kommunikation BW</w:t>
            </w:r>
          </w:p>
        </w:tc>
        <w:tc>
          <w:tcPr>
            <w:tcW w:w="3231" w:type="dxa"/>
            <w:vAlign w:val="center"/>
          </w:tcPr>
          <w:p w14:paraId="64944971" w14:textId="27D2699D"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Der Beitrag informiert Jugendliche über die Hintergründe des Nahost-Konflikts und gibt Tipps zum Umgang mit belastenden Bildern und Videos aus dem Krisengebiet.</w:t>
            </w:r>
          </w:p>
        </w:tc>
        <w:tc>
          <w:tcPr>
            <w:tcW w:w="4491" w:type="dxa"/>
            <w:vAlign w:val="center"/>
          </w:tcPr>
          <w:p w14:paraId="1AC7A3BB" w14:textId="77E0FEDF" w:rsidR="00D12A77" w:rsidRPr="00D12A77" w:rsidRDefault="00D12A77" w:rsidP="00D12A77">
            <w:pPr>
              <w:rPr>
                <w:rFonts w:ascii="Arial" w:eastAsia="Times New Roman" w:hAnsi="Arial" w:cs="Arial"/>
                <w:sz w:val="20"/>
                <w:szCs w:val="20"/>
                <w:lang w:eastAsia="de-DE"/>
              </w:rPr>
            </w:pPr>
            <w:hyperlink r:id="rId14" w:history="1">
              <w:r w:rsidRPr="00D12A77">
                <w:rPr>
                  <w:rStyle w:val="Hyperlink"/>
                  <w:rFonts w:ascii="Arial" w:eastAsia="Times New Roman" w:hAnsi="Arial" w:cs="Arial"/>
                </w:rPr>
                <w:t>https://www.handysektor.de/artikel/krieg-in-israel-und-palaestina-den-konflikt-verstehen</w:t>
              </w:r>
            </w:hyperlink>
          </w:p>
        </w:tc>
      </w:tr>
      <w:tr w:rsidR="00D12A77" w:rsidRPr="00D12A77" w14:paraId="1FA37F3D" w14:textId="0D9E9BDD" w:rsidTr="005A2041">
        <w:trPr>
          <w:tblCellSpacing w:w="15" w:type="dxa"/>
        </w:trPr>
        <w:tc>
          <w:tcPr>
            <w:tcW w:w="3216" w:type="dxa"/>
            <w:tcMar>
              <w:top w:w="15" w:type="dxa"/>
              <w:left w:w="15" w:type="dxa"/>
              <w:bottom w:w="15" w:type="dxa"/>
              <w:right w:w="15" w:type="dxa"/>
            </w:tcMar>
            <w:vAlign w:val="center"/>
            <w:hideMark/>
          </w:tcPr>
          <w:p w14:paraId="53F6017A"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Zentrum für Schulqualität und Lehrerbildung BW</w:t>
            </w:r>
          </w:p>
        </w:tc>
        <w:tc>
          <w:tcPr>
            <w:tcW w:w="3231" w:type="dxa"/>
            <w:vAlign w:val="center"/>
          </w:tcPr>
          <w:p w14:paraId="5056146F" w14:textId="115ACC14"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Auf der Website werden verschiedene Materialien, Fortbildungs- und Beratungsangebote und generelle pädagogische Hinweise zum Umgang mit Krieg und Gewalt speziell für Lehrkräfte bereit gestellt.</w:t>
            </w:r>
          </w:p>
        </w:tc>
        <w:tc>
          <w:tcPr>
            <w:tcW w:w="4491" w:type="dxa"/>
            <w:vAlign w:val="center"/>
          </w:tcPr>
          <w:p w14:paraId="18CE21AA" w14:textId="36EE28F6"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br/>
            </w:r>
            <w:hyperlink r:id="rId15" w:history="1">
              <w:r w:rsidRPr="00D12A77">
                <w:rPr>
                  <w:rStyle w:val="Hyperlink"/>
                  <w:rFonts w:ascii="Arial" w:eastAsia="Times New Roman" w:hAnsi="Arial" w:cs="Arial"/>
                </w:rPr>
                <w:t>https://zsl-bw.de/,Lde/Startseite/im-fokus/im-fokus-israelkrieg</w:t>
              </w:r>
            </w:hyperlink>
          </w:p>
        </w:tc>
      </w:tr>
      <w:tr w:rsidR="00D12A77" w:rsidRPr="00D12A77" w14:paraId="7CF212F4" w14:textId="69A633AA" w:rsidTr="005A2041">
        <w:trPr>
          <w:tblCellSpacing w:w="15" w:type="dxa"/>
        </w:trPr>
        <w:tc>
          <w:tcPr>
            <w:tcW w:w="3216" w:type="dxa"/>
            <w:tcMar>
              <w:top w:w="15" w:type="dxa"/>
              <w:left w:w="15" w:type="dxa"/>
              <w:bottom w:w="15" w:type="dxa"/>
              <w:right w:w="15" w:type="dxa"/>
            </w:tcMar>
            <w:vAlign w:val="center"/>
            <w:hideMark/>
          </w:tcPr>
          <w:p w14:paraId="5E54F96F"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Klicksave</w:t>
            </w:r>
            <w:r w:rsidRPr="00D12A77">
              <w:rPr>
                <w:rFonts w:ascii="Arial" w:eastAsia="Times New Roman" w:hAnsi="Arial" w:cs="Arial"/>
                <w:sz w:val="24"/>
                <w:szCs w:val="24"/>
                <w:lang w:eastAsia="de-DE"/>
              </w:rPr>
              <w:br/>
              <w:t>(Landesmedienanstalt RP)</w:t>
            </w:r>
          </w:p>
        </w:tc>
        <w:tc>
          <w:tcPr>
            <w:tcW w:w="3231" w:type="dxa"/>
            <w:vAlign w:val="center"/>
          </w:tcPr>
          <w:p w14:paraId="25063478" w14:textId="7A179CA8"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Medienerziehung: Kriegsbilder und Hetze: Hilfe für Kinder und Jugendliche bei der Verarbeitung. Infos für Eltern und Lehrende.</w:t>
            </w:r>
          </w:p>
        </w:tc>
        <w:tc>
          <w:tcPr>
            <w:tcW w:w="4491" w:type="dxa"/>
            <w:vAlign w:val="center"/>
          </w:tcPr>
          <w:p w14:paraId="2818F9D8" w14:textId="61359B53" w:rsidR="00D12A77" w:rsidRPr="00D12A77" w:rsidRDefault="00D12A77" w:rsidP="00D12A77">
            <w:pPr>
              <w:rPr>
                <w:rFonts w:ascii="Arial" w:eastAsia="Times New Roman" w:hAnsi="Arial" w:cs="Arial"/>
                <w:sz w:val="20"/>
                <w:szCs w:val="20"/>
                <w:lang w:eastAsia="de-DE"/>
              </w:rPr>
            </w:pPr>
            <w:hyperlink r:id="rId16" w:history="1">
              <w:r w:rsidRPr="00D12A77">
                <w:rPr>
                  <w:rStyle w:val="Hyperlink"/>
                  <w:rFonts w:ascii="Arial" w:eastAsia="Times New Roman" w:hAnsi="Arial" w:cs="Arial"/>
                </w:rPr>
                <w:t>https://www.klicksafe.de/news/kriegsbilder-und-hetze-so-helfen-sie-kindern-und-jugendlichen-bei-der-verarbeitung</w:t>
              </w:r>
            </w:hyperlink>
          </w:p>
        </w:tc>
      </w:tr>
      <w:tr w:rsidR="00D12A77" w:rsidRPr="00D12A77" w14:paraId="1539759E" w14:textId="6094A068" w:rsidTr="005A2041">
        <w:trPr>
          <w:tblCellSpacing w:w="15" w:type="dxa"/>
        </w:trPr>
        <w:tc>
          <w:tcPr>
            <w:tcW w:w="3216" w:type="dxa"/>
            <w:tcMar>
              <w:top w:w="15" w:type="dxa"/>
              <w:left w:w="15" w:type="dxa"/>
              <w:bottom w:w="15" w:type="dxa"/>
              <w:right w:w="15" w:type="dxa"/>
            </w:tcMar>
            <w:vAlign w:val="center"/>
            <w:hideMark/>
          </w:tcPr>
          <w:p w14:paraId="6DCE0F9A"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OFEK e. V.</w:t>
            </w:r>
          </w:p>
        </w:tc>
        <w:tc>
          <w:tcPr>
            <w:tcW w:w="3231" w:type="dxa"/>
            <w:vAlign w:val="center"/>
          </w:tcPr>
          <w:p w14:paraId="518E4229" w14:textId="598D04B9"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Hilfe, Ansprechpartner und kostenfreie Beratung (telefonisch, per Mail, mit Termin) bei antisemitischen Vorfällen auf Deutsch, Russisch, Englisch und Hebräisch. Die pädagogische Beratung von Organisationen und Einrichtungen. Beratung von Jugendlichen und Familien im Kontext Schule.</w:t>
            </w:r>
          </w:p>
        </w:tc>
        <w:tc>
          <w:tcPr>
            <w:tcW w:w="4491" w:type="dxa"/>
            <w:vAlign w:val="center"/>
          </w:tcPr>
          <w:p w14:paraId="40DAAD24" w14:textId="2031257B" w:rsidR="00D12A77" w:rsidRPr="00D12A77" w:rsidRDefault="00D12A77" w:rsidP="00D12A77">
            <w:pPr>
              <w:rPr>
                <w:rFonts w:ascii="Arial" w:eastAsia="Times New Roman" w:hAnsi="Arial" w:cs="Arial"/>
                <w:sz w:val="20"/>
                <w:szCs w:val="20"/>
                <w:lang w:eastAsia="de-DE"/>
              </w:rPr>
            </w:pPr>
            <w:hyperlink r:id="rId17" w:history="1">
              <w:proofErr w:type="spellStart"/>
              <w:r w:rsidRPr="00D12A77">
                <w:rPr>
                  <w:rStyle w:val="Hyperlink"/>
                  <w:rFonts w:ascii="Arial" w:eastAsia="Times New Roman" w:hAnsi="Arial" w:cs="Arial"/>
                </w:rPr>
                <w:t>BaWü</w:t>
              </w:r>
              <w:proofErr w:type="spellEnd"/>
              <w:r w:rsidRPr="00D12A77">
                <w:rPr>
                  <w:rStyle w:val="Hyperlink"/>
                  <w:rFonts w:ascii="Arial" w:eastAsia="Times New Roman" w:hAnsi="Arial" w:cs="Arial"/>
                </w:rPr>
                <w:t xml:space="preserve"> – OFEK e.V. (ofek-beratung.de)</w:t>
              </w:r>
            </w:hyperlink>
          </w:p>
        </w:tc>
      </w:tr>
      <w:tr w:rsidR="00D12A77" w:rsidRPr="00D12A77" w14:paraId="3FC6CD2A" w14:textId="1877ACA3" w:rsidTr="005A2041">
        <w:trPr>
          <w:tblCellSpacing w:w="15" w:type="dxa"/>
        </w:trPr>
        <w:tc>
          <w:tcPr>
            <w:tcW w:w="3216" w:type="dxa"/>
            <w:tcMar>
              <w:top w:w="15" w:type="dxa"/>
              <w:left w:w="15" w:type="dxa"/>
              <w:bottom w:w="15" w:type="dxa"/>
              <w:right w:w="15" w:type="dxa"/>
            </w:tcMar>
            <w:vAlign w:val="center"/>
            <w:hideMark/>
          </w:tcPr>
          <w:p w14:paraId="5861ECD0" w14:textId="77777777" w:rsidR="00D12A77" w:rsidRPr="00D12A77" w:rsidRDefault="00D12A77" w:rsidP="00D12A77">
            <w:pPr>
              <w:spacing w:after="0" w:line="240" w:lineRule="auto"/>
              <w:rPr>
                <w:rFonts w:ascii="Arial" w:eastAsia="Times New Roman" w:hAnsi="Arial" w:cs="Arial"/>
                <w:sz w:val="24"/>
                <w:szCs w:val="24"/>
                <w:lang w:eastAsia="de-DE"/>
              </w:rPr>
            </w:pPr>
            <w:r w:rsidRPr="00D12A77">
              <w:rPr>
                <w:rFonts w:ascii="Arial" w:eastAsia="Times New Roman" w:hAnsi="Arial" w:cs="Arial"/>
                <w:sz w:val="24"/>
                <w:szCs w:val="24"/>
                <w:lang w:eastAsia="de-DE"/>
              </w:rPr>
              <w:t>Leuchtlinie e. V.</w:t>
            </w:r>
          </w:p>
        </w:tc>
        <w:tc>
          <w:tcPr>
            <w:tcW w:w="3231" w:type="dxa"/>
            <w:vAlign w:val="center"/>
          </w:tcPr>
          <w:p w14:paraId="656CD2FD" w14:textId="1AE717B8" w:rsidR="00D12A77" w:rsidRPr="00D12A77" w:rsidRDefault="00D12A77" w:rsidP="00D12A77">
            <w:pPr>
              <w:rPr>
                <w:rFonts w:ascii="Arial" w:eastAsia="Times New Roman" w:hAnsi="Arial" w:cs="Arial"/>
                <w:sz w:val="20"/>
                <w:szCs w:val="20"/>
                <w:lang w:eastAsia="de-DE"/>
              </w:rPr>
            </w:pPr>
            <w:r w:rsidRPr="00D12A77">
              <w:rPr>
                <w:rFonts w:ascii="Arial" w:eastAsia="Times New Roman" w:hAnsi="Arial" w:cs="Arial"/>
              </w:rPr>
              <w:t>Die Beratungsstelle Leuchtlinie steht Ihnen als direkte Hilfs- und Anlaufstelle zur Seite, wenn Sie Opfer von rechter, rassistischer oder antisemitischer Gewalt geworden sind. Dazu gehören z.B. gewalttätige Übergriffe, Bedrohungen und Beleidigungen.</w:t>
            </w:r>
          </w:p>
        </w:tc>
        <w:tc>
          <w:tcPr>
            <w:tcW w:w="4491" w:type="dxa"/>
            <w:vAlign w:val="center"/>
          </w:tcPr>
          <w:p w14:paraId="4226B199" w14:textId="6177FFE4" w:rsidR="00D12A77" w:rsidRPr="00D12A77" w:rsidRDefault="00D12A77" w:rsidP="00D12A77">
            <w:pPr>
              <w:rPr>
                <w:rFonts w:ascii="Arial" w:eastAsia="Times New Roman" w:hAnsi="Arial" w:cs="Arial"/>
                <w:sz w:val="20"/>
                <w:szCs w:val="20"/>
                <w:lang w:eastAsia="de-DE"/>
              </w:rPr>
            </w:pPr>
            <w:hyperlink r:id="rId18" w:history="1">
              <w:r w:rsidRPr="00D12A77">
                <w:rPr>
                  <w:rStyle w:val="Hyperlink"/>
                  <w:rFonts w:ascii="Arial" w:eastAsia="Times New Roman" w:hAnsi="Arial" w:cs="Arial"/>
                </w:rPr>
                <w:t>Beratung und Auskunft für Betroffene von rechter Gewalt | Leuchtlinie</w:t>
              </w:r>
            </w:hyperlink>
          </w:p>
        </w:tc>
      </w:tr>
    </w:tbl>
    <w:p w14:paraId="71906717" w14:textId="1C243B2D" w:rsidR="0069232B" w:rsidRPr="00D12A77" w:rsidRDefault="0069232B" w:rsidP="00783F05">
      <w:pPr>
        <w:rPr>
          <w:rFonts w:ascii="Arial" w:hAnsi="Arial" w:cs="Arial"/>
          <w:sz w:val="24"/>
          <w:szCs w:val="24"/>
        </w:rPr>
      </w:pPr>
    </w:p>
    <w:p w14:paraId="4FF19E3E" w14:textId="709AA974" w:rsidR="00291D14" w:rsidRPr="00D12A77" w:rsidRDefault="00291D14" w:rsidP="00291D14">
      <w:pPr>
        <w:rPr>
          <w:rFonts w:ascii="Arial" w:hAnsi="Arial" w:cs="Arial"/>
          <w:sz w:val="24"/>
          <w:szCs w:val="24"/>
        </w:rPr>
      </w:pPr>
    </w:p>
    <w:sectPr w:rsidR="00291D14" w:rsidRPr="00D12A77" w:rsidSect="005A2041">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A069" w14:textId="77777777" w:rsidR="00DF5A97" w:rsidRDefault="00DF5A97" w:rsidP="00A02CAC">
      <w:pPr>
        <w:spacing w:after="0" w:line="240" w:lineRule="auto"/>
      </w:pPr>
      <w:r>
        <w:separator/>
      </w:r>
    </w:p>
  </w:endnote>
  <w:endnote w:type="continuationSeparator" w:id="0">
    <w:p w14:paraId="4032DBF7" w14:textId="77777777" w:rsidR="00DF5A97" w:rsidRDefault="00DF5A97" w:rsidP="00A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A377" w14:textId="77777777" w:rsidR="00A02CAC" w:rsidRDefault="00A02C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FBA8" w14:textId="77777777" w:rsidR="00A02CAC" w:rsidRDefault="00A02C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67D4" w14:textId="77777777" w:rsidR="00A02CAC" w:rsidRDefault="00A02C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BD5D" w14:textId="77777777" w:rsidR="00DF5A97" w:rsidRDefault="00DF5A97" w:rsidP="00A02CAC">
      <w:pPr>
        <w:spacing w:after="0" w:line="240" w:lineRule="auto"/>
      </w:pPr>
      <w:r>
        <w:separator/>
      </w:r>
    </w:p>
  </w:footnote>
  <w:footnote w:type="continuationSeparator" w:id="0">
    <w:p w14:paraId="43A45B19" w14:textId="77777777" w:rsidR="00DF5A97" w:rsidRDefault="00DF5A97" w:rsidP="00A0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3CFE" w14:textId="77777777" w:rsidR="00A02CAC" w:rsidRDefault="00A02C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4653" w14:textId="77777777" w:rsidR="00A02CAC" w:rsidRDefault="00A02CAC">
    <w:pPr>
      <w:pStyle w:val="Kopfzeile"/>
    </w:pPr>
    <w:r>
      <w:rPr>
        <w:noProof/>
        <w:lang w:eastAsia="de-DE"/>
      </w:rPr>
      <w:drawing>
        <wp:anchor distT="0" distB="0" distL="114300" distR="114300" simplePos="0" relativeHeight="251659264" behindDoc="0" locked="0" layoutInCell="1" allowOverlap="1" wp14:anchorId="1A7C73D1" wp14:editId="3373D817">
          <wp:simplePos x="0" y="0"/>
          <wp:positionH relativeFrom="page">
            <wp:posOffset>0</wp:posOffset>
          </wp:positionH>
          <wp:positionV relativeFrom="margin">
            <wp:posOffset>-897418</wp:posOffset>
          </wp:positionV>
          <wp:extent cx="7560000" cy="106920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0404_Vordruck_universell_Hass_Hetze_fi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2381" w14:textId="77777777" w:rsidR="00A02CAC" w:rsidRDefault="00A02C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874FB"/>
    <w:multiLevelType w:val="hybridMultilevel"/>
    <w:tmpl w:val="354C2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965344"/>
    <w:multiLevelType w:val="hybridMultilevel"/>
    <w:tmpl w:val="6C44FF64"/>
    <w:lvl w:ilvl="0" w:tplc="AA88A1D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CF58B1"/>
    <w:multiLevelType w:val="hybridMultilevel"/>
    <w:tmpl w:val="990E5816"/>
    <w:lvl w:ilvl="0" w:tplc="441A2E2C">
      <w:numFmt w:val="bullet"/>
      <w:lvlText w:val="-"/>
      <w:lvlJc w:val="left"/>
      <w:pPr>
        <w:ind w:left="5310" w:hanging="360"/>
      </w:pPr>
      <w:rPr>
        <w:rFonts w:ascii="Arial" w:eastAsiaTheme="minorHAnsi" w:hAnsi="Arial" w:cs="Arial" w:hint="default"/>
      </w:rPr>
    </w:lvl>
    <w:lvl w:ilvl="1" w:tplc="04070003" w:tentative="1">
      <w:start w:val="1"/>
      <w:numFmt w:val="bullet"/>
      <w:lvlText w:val="o"/>
      <w:lvlJc w:val="left"/>
      <w:pPr>
        <w:ind w:left="6030" w:hanging="360"/>
      </w:pPr>
      <w:rPr>
        <w:rFonts w:ascii="Courier New" w:hAnsi="Courier New" w:cs="Courier New" w:hint="default"/>
      </w:rPr>
    </w:lvl>
    <w:lvl w:ilvl="2" w:tplc="04070005" w:tentative="1">
      <w:start w:val="1"/>
      <w:numFmt w:val="bullet"/>
      <w:lvlText w:val=""/>
      <w:lvlJc w:val="left"/>
      <w:pPr>
        <w:ind w:left="6750" w:hanging="360"/>
      </w:pPr>
      <w:rPr>
        <w:rFonts w:ascii="Wingdings" w:hAnsi="Wingdings" w:hint="default"/>
      </w:rPr>
    </w:lvl>
    <w:lvl w:ilvl="3" w:tplc="04070001" w:tentative="1">
      <w:start w:val="1"/>
      <w:numFmt w:val="bullet"/>
      <w:lvlText w:val=""/>
      <w:lvlJc w:val="left"/>
      <w:pPr>
        <w:ind w:left="7470" w:hanging="360"/>
      </w:pPr>
      <w:rPr>
        <w:rFonts w:ascii="Symbol" w:hAnsi="Symbol" w:hint="default"/>
      </w:rPr>
    </w:lvl>
    <w:lvl w:ilvl="4" w:tplc="04070003" w:tentative="1">
      <w:start w:val="1"/>
      <w:numFmt w:val="bullet"/>
      <w:lvlText w:val="o"/>
      <w:lvlJc w:val="left"/>
      <w:pPr>
        <w:ind w:left="8190" w:hanging="360"/>
      </w:pPr>
      <w:rPr>
        <w:rFonts w:ascii="Courier New" w:hAnsi="Courier New" w:cs="Courier New" w:hint="default"/>
      </w:rPr>
    </w:lvl>
    <w:lvl w:ilvl="5" w:tplc="04070005" w:tentative="1">
      <w:start w:val="1"/>
      <w:numFmt w:val="bullet"/>
      <w:lvlText w:val=""/>
      <w:lvlJc w:val="left"/>
      <w:pPr>
        <w:ind w:left="8910" w:hanging="360"/>
      </w:pPr>
      <w:rPr>
        <w:rFonts w:ascii="Wingdings" w:hAnsi="Wingdings" w:hint="default"/>
      </w:rPr>
    </w:lvl>
    <w:lvl w:ilvl="6" w:tplc="04070001" w:tentative="1">
      <w:start w:val="1"/>
      <w:numFmt w:val="bullet"/>
      <w:lvlText w:val=""/>
      <w:lvlJc w:val="left"/>
      <w:pPr>
        <w:ind w:left="9630" w:hanging="360"/>
      </w:pPr>
      <w:rPr>
        <w:rFonts w:ascii="Symbol" w:hAnsi="Symbol" w:hint="default"/>
      </w:rPr>
    </w:lvl>
    <w:lvl w:ilvl="7" w:tplc="04070003" w:tentative="1">
      <w:start w:val="1"/>
      <w:numFmt w:val="bullet"/>
      <w:lvlText w:val="o"/>
      <w:lvlJc w:val="left"/>
      <w:pPr>
        <w:ind w:left="10350" w:hanging="360"/>
      </w:pPr>
      <w:rPr>
        <w:rFonts w:ascii="Courier New" w:hAnsi="Courier New" w:cs="Courier New" w:hint="default"/>
      </w:rPr>
    </w:lvl>
    <w:lvl w:ilvl="8" w:tplc="04070005" w:tentative="1">
      <w:start w:val="1"/>
      <w:numFmt w:val="bullet"/>
      <w:lvlText w:val=""/>
      <w:lvlJc w:val="left"/>
      <w:pPr>
        <w:ind w:left="110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AC"/>
    <w:rsid w:val="000372F0"/>
    <w:rsid w:val="00045AC6"/>
    <w:rsid w:val="00067F6E"/>
    <w:rsid w:val="000D6458"/>
    <w:rsid w:val="00171DC7"/>
    <w:rsid w:val="001B2D9A"/>
    <w:rsid w:val="001C0AE3"/>
    <w:rsid w:val="0027110D"/>
    <w:rsid w:val="00272393"/>
    <w:rsid w:val="00291D14"/>
    <w:rsid w:val="003109AF"/>
    <w:rsid w:val="00394AC3"/>
    <w:rsid w:val="00406654"/>
    <w:rsid w:val="004158D0"/>
    <w:rsid w:val="00435990"/>
    <w:rsid w:val="005446B0"/>
    <w:rsid w:val="00565B46"/>
    <w:rsid w:val="005A2041"/>
    <w:rsid w:val="005B2CD3"/>
    <w:rsid w:val="00675F0F"/>
    <w:rsid w:val="0069232B"/>
    <w:rsid w:val="00783F05"/>
    <w:rsid w:val="008B1085"/>
    <w:rsid w:val="00902445"/>
    <w:rsid w:val="00957CC6"/>
    <w:rsid w:val="009B4702"/>
    <w:rsid w:val="00A02CAC"/>
    <w:rsid w:val="00A062E9"/>
    <w:rsid w:val="00A61A64"/>
    <w:rsid w:val="00A96605"/>
    <w:rsid w:val="00AC4FA2"/>
    <w:rsid w:val="00C03E6A"/>
    <w:rsid w:val="00C81FF8"/>
    <w:rsid w:val="00C938AB"/>
    <w:rsid w:val="00D12A77"/>
    <w:rsid w:val="00D2507C"/>
    <w:rsid w:val="00DF5A97"/>
    <w:rsid w:val="00E61DCF"/>
    <w:rsid w:val="00EB5451"/>
    <w:rsid w:val="00EC0BBF"/>
    <w:rsid w:val="00F92BF6"/>
    <w:rsid w:val="00FF38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9BB0"/>
  <w15:chartTrackingRefBased/>
  <w15:docId w15:val="{73E3C3D2-85FB-4BE0-9C32-BB045E86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2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CAC"/>
  </w:style>
  <w:style w:type="paragraph" w:styleId="Fuzeile">
    <w:name w:val="footer"/>
    <w:basedOn w:val="Standard"/>
    <w:link w:val="FuzeileZchn"/>
    <w:uiPriority w:val="99"/>
    <w:unhideWhenUsed/>
    <w:rsid w:val="00A02C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CAC"/>
  </w:style>
  <w:style w:type="paragraph" w:styleId="Listenabsatz">
    <w:name w:val="List Paragraph"/>
    <w:basedOn w:val="Standard"/>
    <w:uiPriority w:val="34"/>
    <w:qFormat/>
    <w:rsid w:val="001B2D9A"/>
    <w:pPr>
      <w:ind w:left="720"/>
      <w:contextualSpacing/>
    </w:pPr>
  </w:style>
  <w:style w:type="character" w:styleId="Kommentarzeichen">
    <w:name w:val="annotation reference"/>
    <w:basedOn w:val="Absatz-Standardschriftart"/>
    <w:uiPriority w:val="99"/>
    <w:semiHidden/>
    <w:unhideWhenUsed/>
    <w:rsid w:val="00171DC7"/>
    <w:rPr>
      <w:sz w:val="16"/>
      <w:szCs w:val="16"/>
    </w:rPr>
  </w:style>
  <w:style w:type="paragraph" w:styleId="Kommentartext">
    <w:name w:val="annotation text"/>
    <w:basedOn w:val="Standard"/>
    <w:link w:val="KommentartextZchn"/>
    <w:uiPriority w:val="99"/>
    <w:semiHidden/>
    <w:unhideWhenUsed/>
    <w:rsid w:val="00171D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1DC7"/>
    <w:rPr>
      <w:sz w:val="20"/>
      <w:szCs w:val="20"/>
    </w:rPr>
  </w:style>
  <w:style w:type="paragraph" w:styleId="Kommentarthema">
    <w:name w:val="annotation subject"/>
    <w:basedOn w:val="Kommentartext"/>
    <w:next w:val="Kommentartext"/>
    <w:link w:val="KommentarthemaZchn"/>
    <w:uiPriority w:val="99"/>
    <w:semiHidden/>
    <w:unhideWhenUsed/>
    <w:rsid w:val="00171DC7"/>
    <w:rPr>
      <w:b/>
      <w:bCs/>
    </w:rPr>
  </w:style>
  <w:style w:type="character" w:customStyle="1" w:styleId="KommentarthemaZchn">
    <w:name w:val="Kommentarthema Zchn"/>
    <w:basedOn w:val="KommentartextZchn"/>
    <w:link w:val="Kommentarthema"/>
    <w:uiPriority w:val="99"/>
    <w:semiHidden/>
    <w:rsid w:val="00171DC7"/>
    <w:rPr>
      <w:b/>
      <w:bCs/>
      <w:sz w:val="20"/>
      <w:szCs w:val="20"/>
    </w:rPr>
  </w:style>
  <w:style w:type="paragraph" w:styleId="Sprechblasentext">
    <w:name w:val="Balloon Text"/>
    <w:basedOn w:val="Standard"/>
    <w:link w:val="SprechblasentextZchn"/>
    <w:uiPriority w:val="99"/>
    <w:semiHidden/>
    <w:unhideWhenUsed/>
    <w:rsid w:val="00171D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1DC7"/>
    <w:rPr>
      <w:rFonts w:ascii="Segoe UI" w:hAnsi="Segoe UI" w:cs="Segoe UI"/>
      <w:sz w:val="18"/>
      <w:szCs w:val="18"/>
    </w:rPr>
  </w:style>
  <w:style w:type="character" w:styleId="Fett">
    <w:name w:val="Strong"/>
    <w:basedOn w:val="Absatz-Standardschriftart"/>
    <w:uiPriority w:val="22"/>
    <w:qFormat/>
    <w:rsid w:val="00D12A77"/>
    <w:rPr>
      <w:b/>
      <w:bCs/>
    </w:rPr>
  </w:style>
  <w:style w:type="character" w:styleId="Hyperlink">
    <w:name w:val="Hyperlink"/>
    <w:basedOn w:val="Absatz-Standardschriftart"/>
    <w:uiPriority w:val="99"/>
    <w:semiHidden/>
    <w:unhideWhenUsed/>
    <w:rsid w:val="00D12A77"/>
    <w:rPr>
      <w:color w:val="0000FF"/>
      <w:u w:val="single"/>
    </w:rPr>
  </w:style>
  <w:style w:type="paragraph" w:styleId="StandardWeb">
    <w:name w:val="Normal (Web)"/>
    <w:basedOn w:val="Standard"/>
    <w:uiPriority w:val="99"/>
    <w:semiHidden/>
    <w:unhideWhenUsed/>
    <w:rsid w:val="005A2041"/>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2650">
      <w:bodyDiv w:val="1"/>
      <w:marLeft w:val="0"/>
      <w:marRight w:val="0"/>
      <w:marTop w:val="0"/>
      <w:marBottom w:val="0"/>
      <w:divBdr>
        <w:top w:val="none" w:sz="0" w:space="0" w:color="auto"/>
        <w:left w:val="none" w:sz="0" w:space="0" w:color="auto"/>
        <w:bottom w:val="none" w:sz="0" w:space="0" w:color="auto"/>
        <w:right w:val="none" w:sz="0" w:space="0" w:color="auto"/>
      </w:divBdr>
    </w:div>
    <w:div w:id="20615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ialministerium.baden-wuerttemberg.de/de/ministerium/lads-baden-wuerttemberg" TargetMode="External"/><Relationship Id="rId13" Type="http://schemas.openxmlformats.org/officeDocument/2006/relationships/hyperlink" Target="https://www.initiative-toleranz-im-netz.de/event/lernmedium-wahrnehmen-benennen-handeln/" TargetMode="External"/><Relationship Id="rId18" Type="http://schemas.openxmlformats.org/officeDocument/2006/relationships/hyperlink" Target="https://www.leuchtlinie.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itiative-toleranz-im-netz.de/event/achtung-ein-praeventionsprojekt-fuer-schulen-zum-thema-radikalisierung/" TargetMode="External"/><Relationship Id="rId17" Type="http://schemas.openxmlformats.org/officeDocument/2006/relationships/hyperlink" Target="https://ofek-beratung.de/baw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licksafe.de/news/kriegsbilder-und-hetze-so-helfen-sie-kindern-und-jugendlichen-bei-der-verarbeitu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itiative-toleranz-im-netz.de/event/antisemitismus-erkennen-und-begegnen-e-pape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zsl-bw.de/,Lde/Startseite/im-fokus/im-fokus-israelkrieg" TargetMode="External"/><Relationship Id="rId23" Type="http://schemas.openxmlformats.org/officeDocument/2006/relationships/header" Target="header3.xml"/><Relationship Id="rId10" Type="http://schemas.openxmlformats.org/officeDocument/2006/relationships/hyperlink" Target="https://www.konex-bw.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itiative-toleranz-im-netz.de/event/praeventionsangebot-sicher-in-glaubensgemeinschaften/" TargetMode="External"/><Relationship Id="rId14" Type="http://schemas.openxmlformats.org/officeDocument/2006/relationships/hyperlink" Target="https://www.handysektor.de/artikel/krieg-in-israel-und-palaestina-den-konflikt-versteh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AC5F-13F2-44CF-8CBC-827538A4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dc:creator>
  <cp:keywords/>
  <dc:description/>
  <cp:lastModifiedBy>Schulik, Stephanie</cp:lastModifiedBy>
  <cp:revision>4</cp:revision>
  <cp:lastPrinted>2024-05-17T07:39:00Z</cp:lastPrinted>
  <dcterms:created xsi:type="dcterms:W3CDTF">2024-05-17T06:49:00Z</dcterms:created>
  <dcterms:modified xsi:type="dcterms:W3CDTF">2024-05-17T09:10:00Z</dcterms:modified>
</cp:coreProperties>
</file>